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Escambia County Public Schools understands parents and guardians play a major role in guiding their child’s reading and media center use. It is important that each family has the right to determine which library resources are acceptable for its children and that we afford that right to each family. </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The district strives to provide appropriate educational, intellectual, and physical access to resources that provide for a wide range of abilities and differing points of view. This process in no way negates our responsibility to ensure that the materials that are in our media centers align to state statutes but provides families with additional choices around all available media materials. </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Parents and guardians are empowered to select their student’s level of access to school library media collections each year: </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Student Name: ______________________________________</w:t>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Student ID: ___________________________</w:t>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Select One: </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___ </w:t>
      </w:r>
      <w:r w:rsidDel="00000000" w:rsidR="00000000" w:rsidRPr="00000000">
        <w:rPr>
          <w:b w:val="1"/>
          <w:rtl w:val="0"/>
        </w:rPr>
        <w:t xml:space="preserve">Unlimited</w:t>
      </w:r>
      <w:r w:rsidDel="00000000" w:rsidR="00000000" w:rsidRPr="00000000">
        <w:rPr>
          <w:rtl w:val="0"/>
        </w:rPr>
        <w:t xml:space="preserve">: default full access, mature content may be involved.</w:t>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___ </w:t>
      </w:r>
      <w:r w:rsidDel="00000000" w:rsidR="00000000" w:rsidRPr="00000000">
        <w:rPr>
          <w:b w:val="1"/>
          <w:rtl w:val="0"/>
        </w:rPr>
        <w:t xml:space="preserve">Limited</w:t>
      </w:r>
      <w:r w:rsidDel="00000000" w:rsidR="00000000" w:rsidRPr="00000000">
        <w:rPr>
          <w:rtl w:val="0"/>
        </w:rPr>
        <w:t xml:space="preserve">: the school’s media specialist will coordinate with the parent/guardian to determine acceptable content.  Students will not have access to the classroom libraries or digital library collections; they will select their reading materials from the library media center. </w:t>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If Limited Please Specify: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___ </w:t>
      </w:r>
      <w:r w:rsidDel="00000000" w:rsidR="00000000" w:rsidRPr="00000000">
        <w:rPr>
          <w:b w:val="1"/>
          <w:rtl w:val="0"/>
        </w:rPr>
        <w:t xml:space="preserve">No Access</w:t>
      </w:r>
      <w:r w:rsidDel="00000000" w:rsidR="00000000" w:rsidRPr="00000000">
        <w:rPr>
          <w:rtl w:val="0"/>
        </w:rPr>
        <w:t xml:space="preserve">: student is not permitted to check books out of the media center, use the classroom library or access digital library collections. </w:t>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t xml:space="preserve">The information will be noted in the Focus Student Information System and will update the Destiny Library Catalog the following day.</w:t>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_________________________________</w:t>
        <w:tab/>
        <w:t xml:space="preserve">___________________________________</w:t>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Printed Parent/Guardian Name</w:t>
        <w:tab/>
        <w:tab/>
        <w:t xml:space="preserve">Parent/Guardian Signature</w:t>
        <w:tab/>
        <w:tab/>
        <w:tab/>
      </w:r>
    </w:p>
    <w:p w:rsidR="00000000" w:rsidDel="00000000" w:rsidP="00000000" w:rsidRDefault="00000000" w:rsidRPr="00000000" w14:paraId="00000026">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__________________________________</w:t>
        <w:tab/>
        <w:t xml:space="preserve">____________________________________</w:t>
      </w:r>
    </w:p>
    <w:p w:rsidR="00000000" w:rsidDel="00000000" w:rsidP="00000000" w:rsidRDefault="00000000" w:rsidRPr="00000000" w14:paraId="00000028">
      <w:pPr>
        <w:pBdr>
          <w:top w:color="auto" w:space="0" w:sz="0" w:val="none"/>
          <w:left w:color="auto" w:space="0" w:sz="0" w:val="none"/>
          <w:bottom w:color="auto" w:space="8" w:sz="0" w:val="none"/>
          <w:right w:color="auto" w:space="0" w:sz="0" w:val="none"/>
        </w:pBdr>
        <w:shd w:fill="ffffff" w:val="clear"/>
        <w:spacing w:line="360" w:lineRule="auto"/>
        <w:rPr>
          <w:b w:val="1"/>
        </w:rPr>
      </w:pPr>
      <w:r w:rsidDel="00000000" w:rsidR="00000000" w:rsidRPr="00000000">
        <w:rPr>
          <w:b w:val="1"/>
          <w:rtl w:val="0"/>
        </w:rPr>
        <w:t xml:space="preserve">Date</w:t>
        <w:tab/>
        <w:tab/>
        <w:tab/>
        <w:tab/>
        <w:tab/>
        <w:tab/>
        <w:t xml:space="preserve">Contact Number </w:t>
      </w:r>
    </w:p>
    <w:sectPr>
      <w:head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b w:val="1"/>
      </w:rPr>
    </w:pPr>
    <w:r w:rsidDel="00000000" w:rsidR="00000000" w:rsidRPr="00000000">
      <w:rPr>
        <w:b w:val="1"/>
        <w:rtl w:val="0"/>
      </w:rPr>
      <w:t xml:space="preserve">ECPS K-12 Library Access Form</w:t>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